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DE945" w14:textId="77777777" w:rsidR="008379CA" w:rsidRDefault="00335184">
      <w:pPr>
        <w:spacing w:after="91" w:line="259" w:lineRule="auto"/>
        <w:ind w:left="91" w:firstLine="0"/>
        <w:jc w:val="left"/>
      </w:pPr>
      <w:r>
        <w:t xml:space="preserve"> </w:t>
      </w:r>
    </w:p>
    <w:p w14:paraId="124AD66F" w14:textId="77777777" w:rsidR="008379CA" w:rsidRDefault="00335184">
      <w:pPr>
        <w:tabs>
          <w:tab w:val="center" w:pos="2172"/>
        </w:tabs>
        <w:spacing w:after="0" w:line="259" w:lineRule="auto"/>
        <w:ind w:left="0" w:firstLine="0"/>
        <w:jc w:val="left"/>
      </w:pPr>
      <w:r>
        <w:rPr>
          <w:noProof/>
        </w:rPr>
        <w:drawing>
          <wp:inline distT="0" distB="0" distL="0" distR="0" wp14:anchorId="73740F77" wp14:editId="46823746">
            <wp:extent cx="1263650" cy="565150"/>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5"/>
                    <a:stretch>
                      <a:fillRect/>
                    </a:stretch>
                  </pic:blipFill>
                  <pic:spPr>
                    <a:xfrm>
                      <a:off x="0" y="0"/>
                      <a:ext cx="1263650" cy="565150"/>
                    </a:xfrm>
                    <a:prstGeom prst="rect">
                      <a:avLst/>
                    </a:prstGeom>
                  </pic:spPr>
                </pic:pic>
              </a:graphicData>
            </a:graphic>
          </wp:inline>
        </w:drawing>
      </w:r>
      <w:r>
        <w:tab/>
        <w:t xml:space="preserve"> </w:t>
      </w:r>
    </w:p>
    <w:p w14:paraId="5C11160C" w14:textId="77777777" w:rsidR="008379CA" w:rsidRDefault="00335184">
      <w:pPr>
        <w:spacing w:after="137" w:line="259" w:lineRule="auto"/>
        <w:ind w:left="0" w:firstLine="0"/>
        <w:jc w:val="left"/>
      </w:pPr>
      <w:r>
        <w:t xml:space="preserve"> </w:t>
      </w:r>
    </w:p>
    <w:p w14:paraId="2A2EFEF2" w14:textId="77B48108" w:rsidR="00223335" w:rsidRPr="004A0C9F" w:rsidRDefault="004A0C9F" w:rsidP="004A0C9F">
      <w:pPr>
        <w:ind w:left="10"/>
        <w:rPr>
          <w:rFonts w:hint="eastAsia"/>
          <w:b/>
          <w:bCs/>
        </w:rPr>
      </w:pPr>
      <w:r>
        <w:rPr>
          <w:rFonts w:asciiTheme="majorEastAsia" w:eastAsiaTheme="majorEastAsia" w:hAnsiTheme="majorEastAsia" w:cs="PMingLiU"/>
          <w:b/>
          <w:bCs/>
          <w:sz w:val="24"/>
          <w:szCs w:val="24"/>
          <w:lang w:eastAsia="zh-CN"/>
        </w:rPr>
        <w:t xml:space="preserve">    </w:t>
      </w:r>
      <w:r w:rsidR="003415D8" w:rsidRPr="005E6BF2">
        <w:rPr>
          <w:rFonts w:asciiTheme="majorEastAsia" w:eastAsiaTheme="majorEastAsia" w:hAnsiTheme="majorEastAsia" w:cs="PMingLiU" w:hint="eastAsia"/>
          <w:b/>
          <w:bCs/>
          <w:sz w:val="24"/>
          <w:szCs w:val="24"/>
          <w:lang w:eastAsia="zh-CN"/>
        </w:rPr>
        <w:t xml:space="preserve"> </w:t>
      </w:r>
      <w:r w:rsidR="00124360" w:rsidRPr="00124360">
        <w:rPr>
          <w:rFonts w:ascii="PMingLiU" w:eastAsia="PMingLiU" w:hAnsi="PMingLiU" w:cs="PMingLiU"/>
          <w:b/>
          <w:bCs/>
          <w:lang w:val="en-HK" w:eastAsia="zh-CN"/>
        </w:rPr>
        <w:t>2000M Business broadband service</w:t>
      </w:r>
      <w:r w:rsidR="00124360">
        <w:rPr>
          <w:rFonts w:ascii="PMingLiU" w:eastAsia="PMingLiU" w:hAnsi="PMingLiU" w:cs="PMingLiU" w:hint="eastAsia"/>
          <w:b/>
          <w:bCs/>
          <w:lang w:val="en-HK"/>
        </w:rPr>
        <w:t xml:space="preserve"> Terms and Conditions</w:t>
      </w:r>
    </w:p>
    <w:p w14:paraId="2BC9303B" w14:textId="77777777" w:rsidR="00223335" w:rsidRDefault="00223335" w:rsidP="00223335">
      <w:pPr>
        <w:ind w:left="0" w:firstLine="0"/>
        <w:rPr>
          <w:rFonts w:eastAsia="DengXian"/>
          <w:lang w:eastAsia="zh-CN"/>
        </w:rPr>
      </w:pPr>
    </w:p>
    <w:p w14:paraId="22B76939" w14:textId="42D459A6" w:rsidR="003415D8" w:rsidRDefault="003415D8" w:rsidP="00223335">
      <w:pPr>
        <w:ind w:left="0" w:firstLine="0"/>
        <w:rPr>
          <w:rFonts w:eastAsia="DengXian"/>
          <w:lang w:eastAsia="zh-CN"/>
        </w:rPr>
      </w:pPr>
    </w:p>
    <w:p w14:paraId="1D79D1BC" w14:textId="77777777" w:rsidR="003415D8" w:rsidRPr="00223335" w:rsidRDefault="003415D8" w:rsidP="00223335">
      <w:pPr>
        <w:ind w:left="0" w:firstLine="0"/>
        <w:rPr>
          <w:rFonts w:eastAsia="DengXian"/>
          <w:lang w:eastAsia="zh-CN"/>
        </w:rPr>
      </w:pPr>
    </w:p>
    <w:p w14:paraId="3CCE3A14" w14:textId="01D9E9E4" w:rsidR="00124360" w:rsidRPr="00124360" w:rsidRDefault="00124360" w:rsidP="00124360">
      <w:pPr>
        <w:pStyle w:val="ListParagraph"/>
        <w:ind w:left="360"/>
        <w:rPr>
          <w:rFonts w:ascii="PMingLiU" w:eastAsia="PMingLiU" w:hAnsi="PMingLiU" w:cs="PMingLiU"/>
          <w:lang w:val="en-HK" w:eastAsia="zh-CN"/>
        </w:rPr>
      </w:pPr>
      <w:r>
        <w:rPr>
          <w:rFonts w:ascii="PMingLiU" w:eastAsia="PMingLiU" w:hAnsi="PMingLiU" w:cs="PMingLiU" w:hint="eastAsia"/>
          <w:lang w:val="en-HK"/>
        </w:rPr>
        <w:t xml:space="preserve">       </w:t>
      </w:r>
      <w:r w:rsidRPr="00124360">
        <w:rPr>
          <w:rFonts w:ascii="PMingLiU" w:eastAsia="PMingLiU" w:hAnsi="PMingLiU" w:cs="PMingLiU"/>
          <w:lang w:val="en-HK" w:eastAsia="zh-CN"/>
        </w:rPr>
        <w:t xml:space="preserve">2000M Business broadband service provides a local maximum upload speed of 1000Mbps and maximum download speed of 2000Mbps. The bandwidth refers to the maximum of the relevant bandwidth that may be achieved between a customer's premises and the first piece of HGC’s network equipment, which may be different from the actual speed performance that a customer may experience. The attainment of the relevant bandwidth depends on various factors including but not limited to HGC Global Communications network coverage, types of building infrastructure, usage levels, site traffic loading, type of content being accessed and performance and configuration of customers' computers. The bandwidth to overseas sites will also be subject to the conditions of local network there, and therefore the bandwidth might be even less. For further information on bandwidth availability to any </w:t>
      </w:r>
      <w:proofErr w:type="gramStart"/>
      <w:r w:rsidRPr="00124360">
        <w:rPr>
          <w:rFonts w:ascii="PMingLiU" w:eastAsia="PMingLiU" w:hAnsi="PMingLiU" w:cs="PMingLiU"/>
          <w:lang w:val="en-HK" w:eastAsia="zh-CN"/>
        </w:rPr>
        <w:t>particular building</w:t>
      </w:r>
      <w:proofErr w:type="gramEnd"/>
      <w:r w:rsidRPr="00124360">
        <w:rPr>
          <w:rFonts w:ascii="PMingLiU" w:eastAsia="PMingLiU" w:hAnsi="PMingLiU" w:cs="PMingLiU"/>
          <w:lang w:val="en-HK" w:eastAsia="zh-CN"/>
        </w:rPr>
        <w:t>, upload / download speeds, or the terms and conditions of our services, please call HGC Broadband Customer Services Hotline 1222.</w:t>
      </w:r>
    </w:p>
    <w:p w14:paraId="0DEA6010" w14:textId="6F481EB0" w:rsidR="008379CA" w:rsidRPr="00124360" w:rsidRDefault="008379CA" w:rsidP="00124360">
      <w:pPr>
        <w:pStyle w:val="ListParagraph"/>
        <w:spacing w:after="0" w:line="240" w:lineRule="auto"/>
        <w:ind w:left="360" w:firstLine="0"/>
        <w:rPr>
          <w:lang w:val="en-HK" w:eastAsia="zh-CN"/>
        </w:rPr>
      </w:pPr>
    </w:p>
    <w:sectPr w:rsidR="008379CA" w:rsidRPr="00124360">
      <w:pgSz w:w="11921" w:h="16860"/>
      <w:pgMar w:top="1046" w:right="1019" w:bottom="764" w:left="7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9D3"/>
    <w:multiLevelType w:val="hybridMultilevel"/>
    <w:tmpl w:val="83F8514C"/>
    <w:lvl w:ilvl="0" w:tplc="28080AA8">
      <w:start w:val="1"/>
      <w:numFmt w:val="decimal"/>
      <w:lvlText w:val="%1."/>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DA5BB4">
      <w:start w:val="1"/>
      <w:numFmt w:val="lowerLetter"/>
      <w:lvlText w:val="%2"/>
      <w:lvlJc w:val="left"/>
      <w:pPr>
        <w:ind w:left="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A2CF1C">
      <w:start w:val="1"/>
      <w:numFmt w:val="lowerRoman"/>
      <w:lvlText w:val="%3"/>
      <w:lvlJc w:val="left"/>
      <w:pPr>
        <w:ind w:left="1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A8AD90">
      <w:start w:val="1"/>
      <w:numFmt w:val="decimal"/>
      <w:lvlText w:val="%4"/>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D8BBDC">
      <w:start w:val="1"/>
      <w:numFmt w:val="lowerLetter"/>
      <w:lvlText w:val="%5"/>
      <w:lvlJc w:val="left"/>
      <w:pPr>
        <w:ind w:left="3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9C685E">
      <w:start w:val="1"/>
      <w:numFmt w:val="lowerRoman"/>
      <w:lvlText w:val="%6"/>
      <w:lvlJc w:val="left"/>
      <w:pPr>
        <w:ind w:left="4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C29A8A">
      <w:start w:val="1"/>
      <w:numFmt w:val="decimal"/>
      <w:lvlText w:val="%7"/>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804848">
      <w:start w:val="1"/>
      <w:numFmt w:val="lowerLetter"/>
      <w:lvlText w:val="%8"/>
      <w:lvlJc w:val="left"/>
      <w:pPr>
        <w:ind w:left="5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B22112">
      <w:start w:val="1"/>
      <w:numFmt w:val="lowerRoman"/>
      <w:lvlText w:val="%9"/>
      <w:lvlJc w:val="left"/>
      <w:pPr>
        <w:ind w:left="6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BDA3915"/>
    <w:multiLevelType w:val="hybridMultilevel"/>
    <w:tmpl w:val="3EA6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6F486F"/>
    <w:multiLevelType w:val="hybridMultilevel"/>
    <w:tmpl w:val="1578E930"/>
    <w:lvl w:ilvl="0" w:tplc="5E0ECC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26272A">
      <w:start w:val="1"/>
      <w:numFmt w:val="bullet"/>
      <w:lvlText w:val="-"/>
      <w:lvlJc w:val="left"/>
      <w:pPr>
        <w:ind w:left="12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3039CC">
      <w:start w:val="1"/>
      <w:numFmt w:val="bullet"/>
      <w:lvlText w:val="•"/>
      <w:lvlJc w:val="left"/>
      <w:pPr>
        <w:ind w:left="1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C88EA2">
      <w:start w:val="1"/>
      <w:numFmt w:val="bullet"/>
      <w:lvlText w:val="•"/>
      <w:lvlJc w:val="left"/>
      <w:pPr>
        <w:ind w:left="1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3A1B9C">
      <w:start w:val="1"/>
      <w:numFmt w:val="bullet"/>
      <w:lvlText w:val="o"/>
      <w:lvlJc w:val="left"/>
      <w:pPr>
        <w:ind w:left="2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F8FC76">
      <w:start w:val="1"/>
      <w:numFmt w:val="bullet"/>
      <w:lvlText w:val="▪"/>
      <w:lvlJc w:val="left"/>
      <w:pPr>
        <w:ind w:left="3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0803B8">
      <w:start w:val="1"/>
      <w:numFmt w:val="bullet"/>
      <w:lvlText w:val="•"/>
      <w:lvlJc w:val="left"/>
      <w:pPr>
        <w:ind w:left="3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EAC860">
      <w:start w:val="1"/>
      <w:numFmt w:val="bullet"/>
      <w:lvlText w:val="o"/>
      <w:lvlJc w:val="left"/>
      <w:pPr>
        <w:ind w:left="4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A6DE18">
      <w:start w:val="1"/>
      <w:numFmt w:val="bullet"/>
      <w:lvlText w:val="▪"/>
      <w:lvlJc w:val="left"/>
      <w:pPr>
        <w:ind w:left="5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A2A276F"/>
    <w:multiLevelType w:val="hybridMultilevel"/>
    <w:tmpl w:val="F5AECC8C"/>
    <w:lvl w:ilvl="0" w:tplc="C232986E">
      <w:start w:val="1"/>
      <w:numFmt w:val="decimal"/>
      <w:lvlText w:val="%1."/>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44BB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16B6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18611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C62D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0AE6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B48D3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F884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0ADB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97505861">
    <w:abstractNumId w:val="0"/>
  </w:num>
  <w:num w:numId="2" w16cid:durableId="758448795">
    <w:abstractNumId w:val="2"/>
  </w:num>
  <w:num w:numId="3" w16cid:durableId="1212957282">
    <w:abstractNumId w:val="3"/>
  </w:num>
  <w:num w:numId="4" w16cid:durableId="445389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CA"/>
    <w:rsid w:val="00124360"/>
    <w:rsid w:val="00223335"/>
    <w:rsid w:val="00335184"/>
    <w:rsid w:val="003415D8"/>
    <w:rsid w:val="003F647A"/>
    <w:rsid w:val="00447F99"/>
    <w:rsid w:val="004A0C9F"/>
    <w:rsid w:val="005E6BF2"/>
    <w:rsid w:val="00682058"/>
    <w:rsid w:val="008379CA"/>
    <w:rsid w:val="00881D1C"/>
    <w:rsid w:val="008908BE"/>
    <w:rsid w:val="00942517"/>
    <w:rsid w:val="00AB3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65CE"/>
  <w15:docId w15:val="{2847DE7E-8C70-45D4-A3FF-23E0E26E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461" w:hanging="370"/>
      <w:jc w:val="both"/>
    </w:pPr>
    <w:rPr>
      <w:rFonts w:ascii="Arial" w:eastAsia="Arial" w:hAnsi="Arial" w:cs="Arial"/>
      <w:color w:val="000000"/>
      <w:sz w:val="20"/>
    </w:rPr>
  </w:style>
  <w:style w:type="paragraph" w:styleId="Heading1">
    <w:name w:val="heading 1"/>
    <w:next w:val="Normal"/>
    <w:link w:val="Heading1Char"/>
    <w:uiPriority w:val="9"/>
    <w:qFormat/>
    <w:rsid w:val="00AB331A"/>
    <w:pPr>
      <w:keepNext/>
      <w:keepLines/>
      <w:spacing w:after="38"/>
      <w:ind w:left="11" w:hanging="10"/>
      <w:outlineLvl w:val="0"/>
    </w:pPr>
    <w:rPr>
      <w:rFonts w:ascii="MingLiU" w:eastAsia="MingLiU" w:hAnsi="MingLiU" w:cs="MingLiU"/>
      <w:color w:val="000000"/>
      <w:sz w:val="2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31A"/>
    <w:rPr>
      <w:rFonts w:ascii="MingLiU" w:eastAsia="MingLiU" w:hAnsi="MingLiU" w:cs="MingLiU"/>
      <w:color w:val="000000"/>
      <w:sz w:val="20"/>
      <w:u w:val="single" w:color="000000"/>
    </w:rPr>
  </w:style>
  <w:style w:type="paragraph" w:styleId="ListParagraph">
    <w:name w:val="List Paragraph"/>
    <w:basedOn w:val="Normal"/>
    <w:uiPriority w:val="34"/>
    <w:qFormat/>
    <w:rsid w:val="00223335"/>
    <w:pPr>
      <w:ind w:left="720"/>
      <w:contextualSpacing/>
    </w:pPr>
  </w:style>
  <w:style w:type="character" w:styleId="Strong">
    <w:name w:val="Strong"/>
    <w:basedOn w:val="DefaultParagraphFont"/>
    <w:uiPriority w:val="22"/>
    <w:qFormat/>
    <w:rsid w:val="005E6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6260">
      <w:bodyDiv w:val="1"/>
      <w:marLeft w:val="0"/>
      <w:marRight w:val="0"/>
      <w:marTop w:val="0"/>
      <w:marBottom w:val="0"/>
      <w:divBdr>
        <w:top w:val="none" w:sz="0" w:space="0" w:color="auto"/>
        <w:left w:val="none" w:sz="0" w:space="0" w:color="auto"/>
        <w:bottom w:val="none" w:sz="0" w:space="0" w:color="auto"/>
        <w:right w:val="none" w:sz="0" w:space="0" w:color="auto"/>
      </w:divBdr>
    </w:div>
    <w:div w:id="274866288">
      <w:bodyDiv w:val="1"/>
      <w:marLeft w:val="0"/>
      <w:marRight w:val="0"/>
      <w:marTop w:val="0"/>
      <w:marBottom w:val="0"/>
      <w:divBdr>
        <w:top w:val="none" w:sz="0" w:space="0" w:color="auto"/>
        <w:left w:val="none" w:sz="0" w:space="0" w:color="auto"/>
        <w:bottom w:val="none" w:sz="0" w:space="0" w:color="auto"/>
        <w:right w:val="none" w:sz="0" w:space="0" w:color="auto"/>
      </w:divBdr>
    </w:div>
    <w:div w:id="1700349425">
      <w:bodyDiv w:val="1"/>
      <w:marLeft w:val="0"/>
      <w:marRight w:val="0"/>
      <w:marTop w:val="0"/>
      <w:marBottom w:val="0"/>
      <w:divBdr>
        <w:top w:val="none" w:sz="0" w:space="0" w:color="auto"/>
        <w:left w:val="none" w:sz="0" w:space="0" w:color="auto"/>
        <w:bottom w:val="none" w:sz="0" w:space="0" w:color="auto"/>
        <w:right w:val="none" w:sz="0" w:space="0" w:color="auto"/>
      </w:divBdr>
    </w:div>
    <w:div w:id="1821724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General and Special Terms Conditions</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and Special Terms Conditions</dc:title>
  <dc:subject/>
  <dc:creator>HGC</dc:creator>
  <cp:keywords/>
  <cp:lastModifiedBy>Jay Lau (Senior Marketing Executive, SCFY)</cp:lastModifiedBy>
  <cp:revision>2</cp:revision>
  <cp:lastPrinted>2024-10-31T03:03:00Z</cp:lastPrinted>
  <dcterms:created xsi:type="dcterms:W3CDTF">2025-06-25T03:35:00Z</dcterms:created>
  <dcterms:modified xsi:type="dcterms:W3CDTF">2025-06-25T03:35:00Z</dcterms:modified>
</cp:coreProperties>
</file>